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Letter to Legislators – Grading Rubric</w:t>
      </w:r>
    </w:p>
    <w:p w:rsidR="00000000" w:rsidDel="00000000" w:rsidP="00000000" w:rsidRDefault="00000000" w:rsidRPr="00000000" w14:paraId="00000002">
      <w:pPr>
        <w:spacing w:line="480" w:lineRule="auto"/>
        <w:rPr/>
      </w:pPr>
      <w:r w:rsidDel="00000000" w:rsidR="00000000" w:rsidRPr="00000000">
        <w:rPr>
          <w:rtl w:val="0"/>
        </w:rPr>
        <w:t xml:space="preserve">Each criterion is scored on a </w:t>
      </w:r>
      <w:r w:rsidDel="00000000" w:rsidR="00000000" w:rsidRPr="00000000">
        <w:rPr>
          <w:b w:val="1"/>
          <w:bCs w:val="1"/>
          <w:rtl w:val="0"/>
        </w:rPr>
        <w:t xml:space="preserve">1–5 scale</w:t>
      </w:r>
      <w:r w:rsidDel="00000000" w:rsidR="00000000" w:rsidRPr="00000000">
        <w:rPr>
          <w:rtl w:val="0"/>
        </w:rPr>
        <w:t xml:space="preserve">.</w:t>
      </w:r>
    </w:p>
    <w:tbl>
      <w:tblPr>
        <w:tblStyle w:val="Table1"/>
        <w:tblW w:w="10416.999999999998" w:type="dxa"/>
        <w:jc w:val="center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  <w:tblLook w:val="0400"/>
      </w:tblPr>
      <w:tblGrid>
        <w:gridCol w:w="2191"/>
        <w:gridCol w:w="1991"/>
        <w:gridCol w:w="1423"/>
        <w:gridCol w:w="1834"/>
        <w:gridCol w:w="1587"/>
        <w:gridCol w:w="1391"/>
        <w:tblGridChange w:id="0">
          <w:tblGrid>
            <w:gridCol w:w="2191"/>
            <w:gridCol w:w="1991"/>
            <w:gridCol w:w="1423"/>
            <w:gridCol w:w="1834"/>
            <w:gridCol w:w="1587"/>
            <w:gridCol w:w="13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  <w:shd w:fill="f1f3f5" w:val="clear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Criterion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  <w:shd w:fill="f1f3f5" w:val="clear"/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 – Exemplary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  <w:shd w:fill="f1f3f5" w:val="clea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 – Proficient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  <w:shd w:fill="f1f3f5" w:val="clear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 – Developing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  <w:shd w:fill="f1f3f5" w:val="clear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 – Beginning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  <w:shd w:fill="f1f3f5" w:val="clear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 – Insufficient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1. Historical Disenfranchisement Connection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Paragraph connecting the current controversy to historical disenfranchisement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Clearly and specifically identifies a historical obstacle to voting; draws a precise, well-reasoned connection to the current controversy (similarities and/or differences in impact, affected populations, or advocacy strategies)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Identifies a historical obstacle and connects it to the current controversy with minor gaps in specificity or reasoning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Mentions a historical obstacle but the connection to the current controversy is vague or underdeveloped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Attempts a historical reference but it is inaccurate, irrelevant, or only loosely related to the current controversy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No meaningful historical connection made; paragraph is missing or off-topic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2. Legislative Advocacy &amp; Specificity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Paragraph stating a specific legislative action to protect popular sovereignty and voting rights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Proposes a clear, specific, and realistic legislative action (bill, amendment, policy change, etc.); directly addresses popular sovereignty and voting rights; identifies the correct legislative body (Congress or state legislature)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Proposes a specific action with minor gaps in clarity or realism; adequately addresses voting rights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Proposes a general action without sufficient specificity; connection to popular sovereignty or voting rights is present but underdeveloped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Advocacy is vague or unrealistic; limited engagement with the concept of popular sovereignty or voting rights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No clear legislative action proposed; paragraph is missing or does not address the prompt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 Outside Evidence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At least one piece of evidence from an independently researched outside source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Integrates a credible, relevant outside source; evidence is clearly cited and directly supports the argument; source is appropriately evaluated for reliability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Uses a credible outside source with adequate citation; evidence supports the argument with minor gaps in integration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Includes an outside source but it is weakly integrated, minimally cited, or only tangentially relevant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Outside source is present but lacks credibility, citation, or relevance to the argument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No outside source included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4. Class/Provided Materials Evidence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At least one piece of evidence from class-provided materials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Accurately and effectively uses a specific piece of evidence from class materials; clearly connects it to the argument with explanation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Uses class material evidence with adequate connection to the argument; minor gaps in explanation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References class materials but the connection to the argument is vague or the evidence is used without explanation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Attempts to use class materials but the reference is inaccurate, unclear, or irrelevant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No evidence from class materials included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5. Writing Quality &amp; Persuasiveness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br w:type="textWrapping"/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Clarity, organization, tone, and persuasive effectiveness of the letter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Letter is clearly organized, uses appropriate formal/persuasive tone for communicating with a legislator, and makes a compelling, coherent argument throughout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Letter is mostly organized and persuasive with a generally appropriate tone; minor issues with clarity or flow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Letter has some organizational issues or inconsistent tone; argument is present but not fully persuasive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Letter is disorganized or uses an inappropriate tone; argument is difficult to follow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Letter is largely incoherent, missing key structural elements, or does not resemble a letter to a legislator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spacing w:line="540" w:lineRule="auto"/>
        <w:rPr/>
      </w:pPr>
      <w:r w:rsidDel="00000000" w:rsidR="00000000" w:rsidRPr="00000000">
        <w:rPr>
          <w:rtl w:val="0"/>
        </w:rPr>
        <w:t xml:space="preserve">Score Summary</w:t>
      </w:r>
    </w:p>
    <w:tbl>
      <w:tblPr>
        <w:tblStyle w:val="Table2"/>
        <w:tblW w:w="8640.0" w:type="dxa"/>
        <w:jc w:val="center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  <w:tblLook w:val="0400"/>
      </w:tblPr>
      <w:tblGrid>
        <w:gridCol w:w="4018"/>
        <w:gridCol w:w="4622"/>
        <w:tblGridChange w:id="0">
          <w:tblGrid>
            <w:gridCol w:w="4018"/>
            <w:gridCol w:w="462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  <w:shd w:fill="f1f3f5" w:val="clea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Points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  <w:shd w:fill="f1f3f5" w:val="clea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Grade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23–25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A (Exemplary)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19–22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B (Proficient)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14–18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C (Developing)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9–13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 (Beginning)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5–8</w:t>
            </w:r>
          </w:p>
        </w:tc>
        <w:tc>
          <w:tcPr>
            <w:tcBorders>
              <w:top w:color="dee2e6" w:space="0" w:sz="8" w:val="single"/>
              <w:left w:color="dee2e6" w:space="0" w:sz="8" w:val="single"/>
              <w:bottom w:color="dee2e6" w:space="0" w:sz="8" w:val="single"/>
              <w:right w:color="dee2e6" w:space="0" w:sz="8" w:val="single"/>
            </w:tcBorders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F (Insufficient)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spacing w:line="540" w:lineRule="auto"/>
        <w:rPr/>
      </w:pPr>
      <w:r w:rsidDel="00000000" w:rsidR="00000000" w:rsidRPr="00000000">
        <w:rPr>
          <w:rtl w:val="0"/>
        </w:rPr>
        <w:t xml:space="preserve">Notes for Graders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Students should be evaluated on the </w:t>
      </w:r>
      <w:r w:rsidDel="00000000" w:rsidR="00000000" w:rsidRPr="00000000">
        <w:rPr>
          <w:b w:val="1"/>
          <w:bCs w:val="1"/>
          <w:rtl w:val="0"/>
        </w:rPr>
        <w:t xml:space="preserve">quality of reasoning</w:t>
      </w:r>
      <w:r w:rsidDel="00000000" w:rsidR="00000000" w:rsidRPr="00000000">
        <w:rPr>
          <w:rtl w:val="0"/>
        </w:rPr>
        <w:t xml:space="preserve">, not just the presence of required elements.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The discussion on Day 2 similarities/differences with historical examples, feasibility of historical strategies) should inform the depth expected in </w:t>
      </w:r>
      <w:r w:rsidDel="00000000" w:rsidR="00000000" w:rsidRPr="00000000">
        <w:rPr>
          <w:b w:val="1"/>
          <w:bCs w:val="1"/>
          <w:rtl w:val="0"/>
        </w:rPr>
        <w:t xml:space="preserve">Criterion 1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Encourage students to identify the </w:t>
      </w:r>
      <w:r w:rsidDel="00000000" w:rsidR="00000000" w:rsidRPr="00000000">
        <w:rPr>
          <w:b w:val="1"/>
          <w:bCs w:val="1"/>
          <w:rtl w:val="0"/>
        </w:rPr>
        <w:t xml:space="preserve">specific legislator</w:t>
      </w:r>
      <w:r w:rsidDel="00000000" w:rsidR="00000000" w:rsidRPr="00000000">
        <w:rPr>
          <w:rtl w:val="0"/>
        </w:rPr>
        <w:t xml:space="preserve"> they are writing to—this adds authenticity and can be noted as a bonus of engagement, though it is not a scored criterion.</w:t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spacing w:after="0" w:line="276" w:lineRule="auto"/>
      <w:jc w:val="right"/>
      <w:rPr/>
    </w:pPr>
    <w:r w:rsidDel="00000000" w:rsidR="00000000" w:rsidRPr="00000000">
      <w:rPr>
        <w:rFonts w:ascii="Arial" w:cs="Arial" w:eastAsia="Arial" w:hAnsi="Arial"/>
        <w:sz w:val="20"/>
        <w:szCs w:val="20"/>
      </w:rPr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1"/>
      <w:pBdr>
        <w:top w:color="000000" w:space="1" w:sz="24" w:val="single"/>
        <w:left w:color="000000" w:space="4" w:sz="24" w:val="single"/>
        <w:bottom w:color="000000" w:space="1" w:sz="24" w:val="single"/>
        <w:right w:color="000000" w:space="4" w:sz="24" w:val="single"/>
      </w:pBdr>
      <w:spacing w:after="0" w:before="240" w:lineRule="auto"/>
      <w:jc w:val="center"/>
    </w:pPr>
    <w:rPr>
      <w:b w:val="1"/>
      <w:bCs w:val="1"/>
      <w:sz w:val="52"/>
      <w:szCs w:val="5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1"/>
      <w:spacing w:after="0" w:before="40" w:lineRule="auto"/>
      <w:jc w:val="center"/>
    </w:pPr>
    <w:rPr>
      <w:b w:val="1"/>
      <w:bCs w:val="1"/>
      <w:sz w:val="44"/>
      <w:szCs w:val="4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1"/>
      <w:spacing w:after="0" w:before="40" w:lineRule="auto"/>
      <w:jc w:val="center"/>
    </w:pPr>
    <w:rPr>
      <w:b w:val="1"/>
      <w:bCs w:val="1"/>
      <w:sz w:val="32"/>
      <w:szCs w:val="32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b w:val="1"/>
      <w:bCs w:val="1"/>
      <w:sz w:val="26"/>
      <w:szCs w:val="2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Arial" w:cs="Arial" w:eastAsia="Arial" w:hAnsi="Arial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80.0" w:type="dxa"/>
        <w:left w:w="160.0" w:type="dxa"/>
        <w:bottom w:w="80.0" w:type="dxa"/>
        <w:right w:w="16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80.0" w:type="dxa"/>
        <w:left w:w="160.0" w:type="dxa"/>
        <w:bottom w:w="80.0" w:type="dxa"/>
        <w:right w:w="16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LoBt/eN3epU3kUxGGRYfwCUM4w==">CgMxLjA4AHIhMVVab25RaGlVZWlHU1hSSzhhSkpJd1k5VmlYY01FTlFf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